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1"/>
        <w:ind w:left="100"/>
      </w:pPr>
      <w:r>
        <w:rPr/>
        <w:t>Obblighi</w:t>
      </w:r>
      <w:r>
        <w:rPr>
          <w:spacing w:val="-3"/>
        </w:rPr>
        <w:t> </w:t>
      </w:r>
      <w:r>
        <w:rPr/>
        <w:t>di</w:t>
      </w:r>
      <w:r>
        <w:rPr>
          <w:spacing w:val="-2"/>
        </w:rPr>
        <w:t> </w:t>
      </w:r>
      <w:r>
        <w:rPr/>
        <w:t>pubblicazione</w:t>
      </w:r>
      <w:r>
        <w:rPr>
          <w:spacing w:val="-4"/>
        </w:rPr>
        <w:t> </w:t>
      </w:r>
      <w:r>
        <w:rPr/>
        <w:t>dati</w:t>
      </w:r>
      <w:r>
        <w:rPr>
          <w:spacing w:val="-3"/>
        </w:rPr>
        <w:t> </w:t>
      </w:r>
      <w:r>
        <w:rPr/>
        <w:t>ai</w:t>
      </w:r>
      <w:r>
        <w:rPr>
          <w:spacing w:val="-3"/>
        </w:rPr>
        <w:t> </w:t>
      </w:r>
      <w:r>
        <w:rPr/>
        <w:t>sensi</w:t>
      </w:r>
      <w:r>
        <w:rPr>
          <w:spacing w:val="2"/>
        </w:rPr>
        <w:t> </w:t>
      </w:r>
      <w:r>
        <w:rPr/>
        <w:t>dell’art.</w:t>
      </w:r>
      <w:r>
        <w:rPr>
          <w:spacing w:val="-2"/>
        </w:rPr>
        <w:t> </w:t>
      </w:r>
      <w:r>
        <w:rPr/>
        <w:t>22</w:t>
      </w:r>
      <w:r>
        <w:rPr>
          <w:spacing w:val="-4"/>
        </w:rPr>
        <w:t> </w:t>
      </w:r>
      <w:r>
        <w:rPr/>
        <w:t>D.Lgs.</w:t>
      </w:r>
      <w:r>
        <w:rPr>
          <w:spacing w:val="-3"/>
        </w:rPr>
        <w:t> </w:t>
      </w:r>
      <w:r>
        <w:rPr/>
        <w:t>n.</w:t>
      </w:r>
      <w:r>
        <w:rPr>
          <w:spacing w:val="-2"/>
        </w:rPr>
        <w:t> </w:t>
      </w:r>
      <w:r>
        <w:rPr/>
        <w:t>33/2013</w:t>
      </w:r>
    </w:p>
    <w:p>
      <w:pPr>
        <w:pStyle w:val="BodyText"/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0"/>
        <w:gridCol w:w="7516"/>
      </w:tblGrid>
      <w:tr>
        <w:trPr>
          <w:trHeight w:val="537" w:hRule="atLeast"/>
        </w:trPr>
        <w:tc>
          <w:tcPr>
            <w:tcW w:w="2830" w:type="dxa"/>
            <w:shd w:val="clear" w:color="auto" w:fill="2D74B5"/>
          </w:tcPr>
          <w:p>
            <w:pPr>
              <w:pStyle w:val="TableParagraph"/>
              <w:spacing w:line="268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FFFFFF"/>
                <w:sz w:val="22"/>
              </w:rPr>
              <w:t>RAGIONE</w:t>
            </w:r>
            <w:r>
              <w:rPr>
                <w:rFonts w:ascii="Calibri"/>
                <w:b/>
                <w:color w:val="FFFFFF"/>
                <w:spacing w:val="-5"/>
                <w:sz w:val="22"/>
              </w:rPr>
              <w:t> </w:t>
            </w:r>
            <w:r>
              <w:rPr>
                <w:rFonts w:ascii="Calibri"/>
                <w:b/>
                <w:color w:val="FFFFFF"/>
                <w:sz w:val="22"/>
              </w:rPr>
              <w:t>SOCIALE</w:t>
            </w:r>
          </w:p>
        </w:tc>
        <w:tc>
          <w:tcPr>
            <w:tcW w:w="7516" w:type="dxa"/>
          </w:tcPr>
          <w:p>
            <w:pPr>
              <w:pStyle w:val="TableParagraph"/>
              <w:spacing w:line="237" w:lineRule="exact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ANPAL</w:t>
            </w:r>
            <w:r>
              <w:rPr>
                <w:b/>
                <w:spacing w:val="9"/>
                <w:w w:val="95"/>
                <w:sz w:val="22"/>
              </w:rPr>
              <w:t> </w:t>
            </w:r>
            <w:r>
              <w:rPr>
                <w:b/>
                <w:w w:val="95"/>
                <w:sz w:val="22"/>
              </w:rPr>
              <w:t>Servizi</w:t>
            </w:r>
            <w:r>
              <w:rPr>
                <w:b/>
                <w:spacing w:val="10"/>
                <w:w w:val="95"/>
                <w:sz w:val="22"/>
              </w:rPr>
              <w:t> </w:t>
            </w:r>
            <w:r>
              <w:rPr>
                <w:b/>
                <w:w w:val="95"/>
                <w:sz w:val="22"/>
              </w:rPr>
              <w:t>Spa</w:t>
            </w:r>
          </w:p>
        </w:tc>
      </w:tr>
      <w:tr>
        <w:trPr>
          <w:trHeight w:val="1074" w:hRule="atLeast"/>
        </w:trPr>
        <w:tc>
          <w:tcPr>
            <w:tcW w:w="2830" w:type="dxa"/>
            <w:shd w:val="clear" w:color="auto" w:fill="2D74B5"/>
          </w:tcPr>
          <w:p>
            <w:pPr>
              <w:pStyle w:val="TableParagraph"/>
              <w:ind w:right="322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color w:val="FFFFFF"/>
                <w:sz w:val="22"/>
              </w:rPr>
              <w:t>MISURA DELL’EVENTUALE</w:t>
            </w:r>
            <w:r>
              <w:rPr>
                <w:rFonts w:ascii="Calibri" w:hAnsi="Calibri"/>
                <w:b/>
                <w:color w:val="FFFFFF"/>
                <w:spacing w:val="-47"/>
                <w:sz w:val="22"/>
              </w:rPr>
              <w:t> </w:t>
            </w:r>
            <w:r>
              <w:rPr>
                <w:rFonts w:ascii="Calibri" w:hAnsi="Calibri"/>
                <w:b/>
                <w:color w:val="FFFFFF"/>
                <w:sz w:val="22"/>
              </w:rPr>
              <w:t>PARTECIPAZIONE</w:t>
            </w:r>
            <w:r>
              <w:rPr>
                <w:rFonts w:ascii="Calibri" w:hAnsi="Calibri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Calibri" w:hAnsi="Calibri"/>
                <w:b/>
                <w:color w:val="FFFFFF"/>
                <w:sz w:val="22"/>
              </w:rPr>
              <w:t>DELL’IMPEGNO</w:t>
            </w:r>
          </w:p>
        </w:tc>
        <w:tc>
          <w:tcPr>
            <w:tcW w:w="7516" w:type="dxa"/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w w:val="95"/>
                <w:sz w:val="22"/>
              </w:rPr>
              <w:t>Anpal</w:t>
            </w:r>
            <w:r>
              <w:rPr>
                <w:spacing w:val="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Servizi</w:t>
            </w:r>
            <w:r>
              <w:rPr>
                <w:spacing w:val="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è</w:t>
            </w:r>
            <w:r>
              <w:rPr>
                <w:spacing w:val="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una</w:t>
            </w:r>
            <w:r>
              <w:rPr>
                <w:spacing w:val="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società</w:t>
            </w:r>
            <w:r>
              <w:rPr>
                <w:spacing w:val="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per</w:t>
            </w:r>
            <w:r>
              <w:rPr>
                <w:spacing w:val="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azioni</w:t>
            </w:r>
            <w:r>
              <w:rPr>
                <w:spacing w:val="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le</w:t>
            </w:r>
            <w:r>
              <w:rPr>
                <w:spacing w:val="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cui</w:t>
            </w:r>
            <w:r>
              <w:rPr>
                <w:spacing w:val="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quote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sono</w:t>
            </w:r>
            <w:r>
              <w:rPr>
                <w:spacing w:val="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detenute</w:t>
            </w:r>
            <w:r>
              <w:rPr>
                <w:spacing w:val="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al</w:t>
            </w:r>
            <w:r>
              <w:rPr>
                <w:spacing w:val="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100%</w:t>
            </w:r>
            <w:r>
              <w:rPr>
                <w:spacing w:val="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da</w:t>
            </w:r>
            <w:r>
              <w:rPr>
                <w:spacing w:val="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Anpal.</w:t>
            </w:r>
          </w:p>
        </w:tc>
      </w:tr>
      <w:tr>
        <w:trPr>
          <w:trHeight w:val="3960" w:hRule="atLeast"/>
        </w:trPr>
        <w:tc>
          <w:tcPr>
            <w:tcW w:w="2830" w:type="dxa"/>
            <w:shd w:val="clear" w:color="auto" w:fill="2D74B5"/>
          </w:tcPr>
          <w:p>
            <w:pPr>
              <w:pStyle w:val="TableParagraph"/>
              <w:ind w:left="0"/>
              <w:rPr>
                <w:rFonts w:ascii="Calibri"/>
                <w:sz w:val="22"/>
              </w:rPr>
            </w:pPr>
          </w:p>
          <w:p>
            <w:pPr>
              <w:pStyle w:val="TableParagraph"/>
              <w:ind w:left="0"/>
              <w:rPr>
                <w:rFonts w:ascii="Calibri"/>
                <w:sz w:val="22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Calibri"/>
                <w:sz w:val="21"/>
              </w:rPr>
            </w:pPr>
          </w:p>
          <w:p>
            <w:pPr>
              <w:pStyle w:val="TableParagraph"/>
              <w:ind w:right="507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FFFFFF"/>
                <w:sz w:val="22"/>
              </w:rPr>
              <w:t>ONERE COMPLESSIVO A</w:t>
            </w:r>
            <w:r>
              <w:rPr>
                <w:rFonts w:ascii="Calibri"/>
                <w:b/>
                <w:color w:val="FFFFFF"/>
                <w:spacing w:val="-47"/>
                <w:sz w:val="22"/>
              </w:rPr>
              <w:t> </w:t>
            </w:r>
            <w:r>
              <w:rPr>
                <w:rFonts w:ascii="Calibri"/>
                <w:b/>
                <w:color w:val="FFFFFF"/>
                <w:sz w:val="22"/>
              </w:rPr>
              <w:t>QUALSIASI</w:t>
            </w:r>
            <w:r>
              <w:rPr>
                <w:rFonts w:ascii="Calibri"/>
                <w:b/>
                <w:color w:val="FFFFFF"/>
                <w:spacing w:val="-3"/>
                <w:sz w:val="22"/>
              </w:rPr>
              <w:t> </w:t>
            </w:r>
            <w:r>
              <w:rPr>
                <w:rFonts w:ascii="Calibri"/>
                <w:b/>
                <w:color w:val="FFFFFF"/>
                <w:sz w:val="22"/>
              </w:rPr>
              <w:t>TITOLO</w:t>
            </w:r>
          </w:p>
          <w:p>
            <w:pPr>
              <w:pStyle w:val="TableParagraph"/>
              <w:spacing w:before="1"/>
              <w:ind w:right="111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color w:val="FFFFFF"/>
                <w:sz w:val="22"/>
              </w:rPr>
              <w:t>GRAVANTE PER L’ANNO SUL</w:t>
            </w:r>
            <w:r>
              <w:rPr>
                <w:rFonts w:ascii="Calibri" w:hAnsi="Calibri"/>
                <w:b/>
                <w:color w:val="FFFFFF"/>
                <w:spacing w:val="-48"/>
                <w:sz w:val="22"/>
              </w:rPr>
              <w:t> </w:t>
            </w:r>
            <w:r>
              <w:rPr>
                <w:rFonts w:ascii="Calibri" w:hAnsi="Calibri"/>
                <w:b/>
                <w:color w:val="FFFFFF"/>
                <w:sz w:val="22"/>
              </w:rPr>
              <w:t>BILANCIO DEL MINISTERO</w:t>
            </w:r>
            <w:r>
              <w:rPr>
                <w:rFonts w:ascii="Calibri" w:hAnsi="Calibri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Calibri" w:hAnsi="Calibri"/>
                <w:b/>
                <w:color w:val="FFFFFF"/>
                <w:sz w:val="22"/>
              </w:rPr>
              <w:t>DEL LAVORO E POLITICHE</w:t>
            </w:r>
            <w:r>
              <w:rPr>
                <w:rFonts w:ascii="Calibri" w:hAnsi="Calibri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Calibri" w:hAnsi="Calibri"/>
                <w:b/>
                <w:color w:val="FFFFFF"/>
                <w:sz w:val="22"/>
              </w:rPr>
              <w:t>SOCIALI</w:t>
            </w:r>
          </w:p>
        </w:tc>
        <w:tc>
          <w:tcPr>
            <w:tcW w:w="7516" w:type="dxa"/>
          </w:tcPr>
          <w:p>
            <w:pPr>
              <w:pStyle w:val="TableParagraph"/>
              <w:spacing w:line="234" w:lineRule="exact"/>
              <w:jc w:val="both"/>
              <w:rPr>
                <w:sz w:val="22"/>
              </w:rPr>
            </w:pPr>
            <w:r>
              <w:rPr>
                <w:w w:val="95"/>
                <w:sz w:val="22"/>
              </w:rPr>
              <w:t>Nell’anno 2020, si</w:t>
            </w:r>
            <w:r>
              <w:rPr>
                <w:spacing w:val="-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registrano</w:t>
            </w:r>
            <w:r>
              <w:rPr>
                <w:spacing w:val="-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le seguenti somme: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9" w:val="left" w:leader="none"/>
              </w:tabs>
              <w:spacing w:line="235" w:lineRule="auto" w:before="1" w:after="0"/>
              <w:ind w:left="828" w:right="97" w:hanging="360"/>
              <w:jc w:val="both"/>
              <w:rPr>
                <w:sz w:val="22"/>
              </w:rPr>
            </w:pPr>
            <w:r>
              <w:rPr>
                <w:sz w:val="22"/>
              </w:rPr>
              <w:t>€ 5.556.141,63 (trasferiti quale anticipo del 60% delle risorse previste per</w:t>
            </w:r>
            <w:r>
              <w:rPr>
                <w:spacing w:val="1"/>
                <w:sz w:val="22"/>
              </w:rPr>
              <w:t> </w:t>
            </w:r>
            <w:r>
              <w:rPr>
                <w:w w:val="95"/>
                <w:sz w:val="22"/>
              </w:rPr>
              <w:t>l’anno 2020 pari complessivamente ad € 9.260.236,05) a valere sul capitolo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w w:val="80"/>
                <w:sz w:val="22"/>
              </w:rPr>
              <w:t>2234</w:t>
            </w:r>
            <w:r>
              <w:rPr>
                <w:spacing w:val="16"/>
                <w:w w:val="80"/>
                <w:sz w:val="22"/>
              </w:rPr>
              <w:t> </w:t>
            </w:r>
            <w:r>
              <w:rPr>
                <w:w w:val="80"/>
                <w:sz w:val="22"/>
              </w:rPr>
              <w:t>p.g.1</w:t>
            </w:r>
            <w:r>
              <w:rPr>
                <w:spacing w:val="17"/>
                <w:w w:val="80"/>
                <w:sz w:val="22"/>
              </w:rPr>
              <w:t> </w:t>
            </w:r>
            <w:r>
              <w:rPr>
                <w:i/>
                <w:w w:val="80"/>
                <w:sz w:val="22"/>
              </w:rPr>
              <w:t>“Contributo</w:t>
            </w:r>
            <w:r>
              <w:rPr>
                <w:i/>
                <w:spacing w:val="19"/>
                <w:w w:val="80"/>
                <w:sz w:val="22"/>
              </w:rPr>
              <w:t> </w:t>
            </w:r>
            <w:r>
              <w:rPr>
                <w:i/>
                <w:w w:val="80"/>
                <w:sz w:val="22"/>
              </w:rPr>
              <w:t>statale</w:t>
            </w:r>
            <w:r>
              <w:rPr>
                <w:i/>
                <w:spacing w:val="15"/>
                <w:w w:val="80"/>
                <w:sz w:val="22"/>
              </w:rPr>
              <w:t> </w:t>
            </w:r>
            <w:r>
              <w:rPr>
                <w:i/>
                <w:w w:val="80"/>
                <w:sz w:val="22"/>
              </w:rPr>
              <w:t>alle</w:t>
            </w:r>
            <w:r>
              <w:rPr>
                <w:i/>
                <w:spacing w:val="17"/>
                <w:w w:val="80"/>
                <w:sz w:val="22"/>
              </w:rPr>
              <w:t> </w:t>
            </w:r>
            <w:r>
              <w:rPr>
                <w:i/>
                <w:w w:val="80"/>
                <w:sz w:val="22"/>
              </w:rPr>
              <w:t>spese</w:t>
            </w:r>
            <w:r>
              <w:rPr>
                <w:i/>
                <w:spacing w:val="19"/>
                <w:w w:val="80"/>
                <w:sz w:val="22"/>
              </w:rPr>
              <w:t> </w:t>
            </w:r>
            <w:r>
              <w:rPr>
                <w:i/>
                <w:w w:val="80"/>
                <w:sz w:val="22"/>
              </w:rPr>
              <w:t>di</w:t>
            </w:r>
            <w:r>
              <w:rPr>
                <w:i/>
                <w:spacing w:val="17"/>
                <w:w w:val="80"/>
                <w:sz w:val="22"/>
              </w:rPr>
              <w:t> </w:t>
            </w:r>
            <w:r>
              <w:rPr>
                <w:i/>
                <w:w w:val="80"/>
                <w:sz w:val="22"/>
              </w:rPr>
              <w:t>funzionamento</w:t>
            </w:r>
            <w:r>
              <w:rPr>
                <w:i/>
                <w:spacing w:val="17"/>
                <w:w w:val="80"/>
                <w:sz w:val="22"/>
              </w:rPr>
              <w:t> </w:t>
            </w:r>
            <w:r>
              <w:rPr>
                <w:i/>
                <w:w w:val="80"/>
                <w:sz w:val="22"/>
              </w:rPr>
              <w:t>e</w:t>
            </w:r>
            <w:r>
              <w:rPr>
                <w:i/>
                <w:spacing w:val="18"/>
                <w:w w:val="80"/>
                <w:sz w:val="22"/>
              </w:rPr>
              <w:t> </w:t>
            </w:r>
            <w:r>
              <w:rPr>
                <w:i/>
                <w:w w:val="80"/>
                <w:sz w:val="22"/>
              </w:rPr>
              <w:t>ai</w:t>
            </w:r>
            <w:r>
              <w:rPr>
                <w:i/>
                <w:spacing w:val="19"/>
                <w:w w:val="80"/>
                <w:sz w:val="22"/>
              </w:rPr>
              <w:t> </w:t>
            </w:r>
            <w:r>
              <w:rPr>
                <w:i/>
                <w:w w:val="80"/>
                <w:sz w:val="22"/>
              </w:rPr>
              <w:t>costi</w:t>
            </w:r>
            <w:r>
              <w:rPr>
                <w:i/>
                <w:spacing w:val="17"/>
                <w:w w:val="80"/>
                <w:sz w:val="22"/>
              </w:rPr>
              <w:t> </w:t>
            </w:r>
            <w:r>
              <w:rPr>
                <w:i/>
                <w:w w:val="80"/>
                <w:sz w:val="22"/>
              </w:rPr>
              <w:t>generali</w:t>
            </w:r>
            <w:r>
              <w:rPr>
                <w:i/>
                <w:spacing w:val="18"/>
                <w:w w:val="80"/>
                <w:sz w:val="22"/>
              </w:rPr>
              <w:t> </w:t>
            </w:r>
            <w:r>
              <w:rPr>
                <w:i/>
                <w:w w:val="80"/>
                <w:sz w:val="22"/>
              </w:rPr>
              <w:t>di</w:t>
            </w:r>
            <w:r>
              <w:rPr>
                <w:i/>
                <w:spacing w:val="17"/>
                <w:w w:val="80"/>
                <w:sz w:val="22"/>
              </w:rPr>
              <w:t> </w:t>
            </w:r>
            <w:r>
              <w:rPr>
                <w:i/>
                <w:w w:val="80"/>
                <w:sz w:val="22"/>
              </w:rPr>
              <w:t>struttura</w:t>
            </w:r>
            <w:r>
              <w:rPr>
                <w:i/>
                <w:spacing w:val="-42"/>
                <w:w w:val="80"/>
                <w:sz w:val="22"/>
              </w:rPr>
              <w:t> </w:t>
            </w:r>
            <w:r>
              <w:rPr>
                <w:i/>
                <w:spacing w:val="-1"/>
                <w:sz w:val="22"/>
              </w:rPr>
              <w:t>di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pacing w:val="-1"/>
                <w:sz w:val="22"/>
              </w:rPr>
              <w:t>ANPAL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pacing w:val="-1"/>
                <w:sz w:val="22"/>
              </w:rPr>
              <w:t>Servizi</w:t>
            </w:r>
            <w:r>
              <w:rPr>
                <w:i/>
                <w:spacing w:val="-11"/>
                <w:sz w:val="22"/>
              </w:rPr>
              <w:t> </w:t>
            </w:r>
            <w:r>
              <w:rPr>
                <w:i/>
                <w:spacing w:val="-1"/>
                <w:sz w:val="22"/>
              </w:rPr>
              <w:t>S.p.A.”</w:t>
            </w:r>
            <w:r>
              <w:rPr>
                <w:i/>
                <w:spacing w:val="-12"/>
                <w:sz w:val="22"/>
              </w:rPr>
              <w:t> </w:t>
            </w:r>
            <w:r>
              <w:rPr>
                <w:spacing w:val="-1"/>
                <w:sz w:val="22"/>
              </w:rPr>
              <w:t>–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"/>
                <w:sz w:val="22"/>
              </w:rPr>
              <w:t>ai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1"/>
                <w:sz w:val="22"/>
              </w:rPr>
              <w:t>sensi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dell’art.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11,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comma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1,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162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30</w:t>
            </w:r>
            <w:r>
              <w:rPr>
                <w:spacing w:val="-52"/>
                <w:sz w:val="22"/>
              </w:rPr>
              <w:t> </w:t>
            </w:r>
            <w:r>
              <w:rPr>
                <w:w w:val="95"/>
                <w:sz w:val="22"/>
              </w:rPr>
              <w:t>dicembre 2019, e impegnate sul proprio bilancio di previsione 2020, gestione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sz w:val="22"/>
              </w:rPr>
              <w:t>ordinaria;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9" w:val="left" w:leader="none"/>
              </w:tabs>
              <w:spacing w:line="244" w:lineRule="exact" w:before="0" w:after="0"/>
              <w:ind w:left="828" w:right="0" w:hanging="361"/>
              <w:jc w:val="both"/>
              <w:rPr>
                <w:sz w:val="22"/>
              </w:rPr>
            </w:pPr>
            <w:r>
              <w:rPr>
                <w:w w:val="95"/>
                <w:sz w:val="22"/>
              </w:rPr>
              <w:t>€</w:t>
            </w:r>
            <w:r>
              <w:rPr>
                <w:spacing w:val="-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3.704.094,42, il</w:t>
            </w:r>
            <w:r>
              <w:rPr>
                <w:spacing w:val="-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40% del</w:t>
            </w:r>
            <w:r>
              <w:rPr>
                <w:spacing w:val="-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saldo del</w:t>
            </w:r>
            <w:r>
              <w:rPr>
                <w:spacing w:val="-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contributo 2020 (solo impegnati);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9" w:val="left" w:leader="none"/>
              </w:tabs>
              <w:spacing w:line="235" w:lineRule="auto" w:before="1" w:after="0"/>
              <w:ind w:left="828" w:right="95" w:hanging="360"/>
              <w:jc w:val="both"/>
              <w:rPr>
                <w:sz w:val="22"/>
              </w:rPr>
            </w:pPr>
            <w:r>
              <w:rPr>
                <w:w w:val="95"/>
                <w:sz w:val="22"/>
              </w:rPr>
              <w:t>€ 97.500.000,00 (trasferiti per l’assunzione del personale già contrattualizzato,</w:t>
            </w:r>
            <w:r>
              <w:rPr>
                <w:spacing w:val="-50"/>
                <w:w w:val="95"/>
                <w:sz w:val="22"/>
              </w:rPr>
              <w:t> </w:t>
            </w:r>
            <w:r>
              <w:rPr>
                <w:sz w:val="22"/>
              </w:rPr>
              <w:t>cd.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navigators);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9" w:val="left" w:leader="none"/>
              </w:tabs>
              <w:spacing w:line="235" w:lineRule="auto" w:before="0" w:after="0"/>
              <w:ind w:left="828" w:right="95" w:hanging="360"/>
              <w:jc w:val="both"/>
              <w:rPr>
                <w:sz w:val="22"/>
              </w:rPr>
            </w:pPr>
            <w:r>
              <w:rPr>
                <w:sz w:val="22"/>
              </w:rPr>
              <w:t>€ 2.000.000,00 (trasferiti quali risorse stanziate sul capitolo 2234 p.g. 1</w:t>
            </w:r>
            <w:r>
              <w:rPr>
                <w:spacing w:val="1"/>
                <w:sz w:val="22"/>
              </w:rPr>
              <w:t> </w:t>
            </w:r>
            <w:r>
              <w:rPr>
                <w:i/>
                <w:w w:val="80"/>
                <w:sz w:val="22"/>
              </w:rPr>
              <w:t>“Contributo statale alle spese di funzionamento e ai costi generali di struttura di ANPAL</w:t>
            </w:r>
            <w:r>
              <w:rPr>
                <w:i/>
                <w:spacing w:val="1"/>
                <w:w w:val="80"/>
                <w:sz w:val="22"/>
              </w:rPr>
              <w:t> </w:t>
            </w:r>
            <w:r>
              <w:rPr>
                <w:i/>
                <w:spacing w:val="-1"/>
                <w:sz w:val="22"/>
              </w:rPr>
              <w:t>Servizi</w:t>
            </w:r>
            <w:r>
              <w:rPr>
                <w:i/>
                <w:spacing w:val="-10"/>
                <w:sz w:val="22"/>
              </w:rPr>
              <w:t> </w:t>
            </w:r>
            <w:r>
              <w:rPr>
                <w:i/>
                <w:sz w:val="22"/>
              </w:rPr>
              <w:t>S.p.A</w:t>
            </w:r>
            <w:r>
              <w:rPr>
                <w:sz w:val="22"/>
              </w:rPr>
              <w:t>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destinato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alle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assunzioni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personale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rapporto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lavoro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3"/>
                <w:sz w:val="22"/>
              </w:rPr>
              <w:t> </w:t>
            </w:r>
            <w:r>
              <w:rPr>
                <w:sz w:val="22"/>
              </w:rPr>
              <w:t>tempo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indeterminato);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829" w:val="left" w:leader="none"/>
              </w:tabs>
              <w:spacing w:line="244" w:lineRule="exact" w:before="0" w:after="0"/>
              <w:ind w:left="828" w:right="0" w:hanging="361"/>
              <w:jc w:val="both"/>
              <w:rPr>
                <w:sz w:val="22"/>
              </w:rPr>
            </w:pPr>
            <w:r>
              <w:rPr>
                <w:sz w:val="22"/>
              </w:rPr>
              <w:t>€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3.797.212,84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(trasferiti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quale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saldo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contributo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relativo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agli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oneri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di</w:t>
            </w:r>
          </w:p>
          <w:p>
            <w:pPr>
              <w:pStyle w:val="TableParagraph"/>
              <w:spacing w:line="241" w:lineRule="exact"/>
              <w:ind w:left="828"/>
              <w:jc w:val="both"/>
              <w:rPr>
                <w:sz w:val="22"/>
              </w:rPr>
            </w:pPr>
            <w:r>
              <w:rPr>
                <w:w w:val="95"/>
                <w:sz w:val="22"/>
              </w:rPr>
              <w:t>funzionamento</w:t>
            </w:r>
            <w:r>
              <w:rPr>
                <w:spacing w:val="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</w:t>
            </w:r>
            <w:r>
              <w:rPr>
                <w:spacing w:val="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ai</w:t>
            </w:r>
            <w:r>
              <w:rPr>
                <w:spacing w:val="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costi</w:t>
            </w:r>
            <w:r>
              <w:rPr>
                <w:spacing w:val="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generali</w:t>
            </w:r>
            <w:r>
              <w:rPr>
                <w:spacing w:val="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di</w:t>
            </w:r>
            <w:r>
              <w:rPr>
                <w:spacing w:val="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struttura</w:t>
            </w:r>
            <w:r>
              <w:rPr>
                <w:spacing w:val="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per</w:t>
            </w:r>
            <w:r>
              <w:rPr>
                <w:spacing w:val="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l’anno</w:t>
            </w:r>
            <w:r>
              <w:rPr>
                <w:spacing w:val="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2019).</w:t>
            </w:r>
          </w:p>
        </w:tc>
      </w:tr>
      <w:tr>
        <w:trPr>
          <w:trHeight w:val="2416" w:hRule="atLeast"/>
        </w:trPr>
        <w:tc>
          <w:tcPr>
            <w:tcW w:w="2830" w:type="dxa"/>
            <w:shd w:val="clear" w:color="auto" w:fill="2D74B5"/>
          </w:tcPr>
          <w:p>
            <w:pPr>
              <w:pStyle w:val="TableParagraph"/>
              <w:ind w:right="272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FFFFFF"/>
                <w:sz w:val="22"/>
              </w:rPr>
              <w:t>NUMERO DEI</w:t>
            </w:r>
            <w:r>
              <w:rPr>
                <w:rFonts w:ascii="Calibri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z w:val="22"/>
              </w:rPr>
              <w:t>RAPPRESENTANTI DEL</w:t>
            </w:r>
            <w:r>
              <w:rPr>
                <w:rFonts w:ascii="Calibri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z w:val="22"/>
              </w:rPr>
              <w:t>MINISTERO DEL LAVORO E</w:t>
            </w:r>
            <w:r>
              <w:rPr>
                <w:rFonts w:ascii="Calibri"/>
                <w:b/>
                <w:color w:val="FFFFFF"/>
                <w:spacing w:val="-47"/>
                <w:sz w:val="22"/>
              </w:rPr>
              <w:t> </w:t>
            </w:r>
            <w:r>
              <w:rPr>
                <w:rFonts w:ascii="Calibri"/>
                <w:b/>
                <w:color w:val="FFFFFF"/>
                <w:sz w:val="22"/>
              </w:rPr>
              <w:t>POLITICHE SOCIALI NEGLI</w:t>
            </w:r>
            <w:r>
              <w:rPr>
                <w:rFonts w:ascii="Calibri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z w:val="22"/>
              </w:rPr>
              <w:t>ORGANI DI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z w:val="22"/>
              </w:rPr>
              <w:t>GOVERNO</w:t>
            </w:r>
          </w:p>
          <w:p>
            <w:pPr>
              <w:pStyle w:val="TableParagraph"/>
              <w:ind w:right="140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FFFFFF"/>
                <w:sz w:val="22"/>
              </w:rPr>
              <w:t>E TRATTAMENTO</w:t>
            </w:r>
            <w:r>
              <w:rPr>
                <w:rFonts w:ascii="Calibri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z w:val="22"/>
              </w:rPr>
              <w:t>ECONOMICO COMPLESSIVO</w:t>
            </w:r>
            <w:r>
              <w:rPr>
                <w:rFonts w:ascii="Calibri"/>
                <w:b/>
                <w:color w:val="FFFFFF"/>
                <w:spacing w:val="-47"/>
                <w:sz w:val="22"/>
              </w:rPr>
              <w:t> </w:t>
            </w:r>
            <w:r>
              <w:rPr>
                <w:rFonts w:ascii="Calibri"/>
                <w:b/>
                <w:color w:val="FFFFFF"/>
                <w:sz w:val="22"/>
              </w:rPr>
              <w:t>A CIASCUNO</w:t>
            </w:r>
            <w:r>
              <w:rPr>
                <w:rFonts w:ascii="Calibri"/>
                <w:b/>
                <w:color w:val="FFFFFF"/>
                <w:spacing w:val="-3"/>
                <w:sz w:val="22"/>
              </w:rPr>
              <w:t> </w:t>
            </w:r>
            <w:r>
              <w:rPr>
                <w:rFonts w:ascii="Calibri"/>
                <w:b/>
                <w:color w:val="FFFFFF"/>
                <w:sz w:val="22"/>
              </w:rPr>
              <w:t>DI</w:t>
            </w:r>
            <w:r>
              <w:rPr>
                <w:rFonts w:asci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/>
                <w:b/>
                <w:color w:val="FFFFFF"/>
                <w:sz w:val="22"/>
              </w:rPr>
              <w:t>ESSI</w:t>
            </w:r>
          </w:p>
          <w:p>
            <w:pPr>
              <w:pStyle w:val="TableParagraph"/>
              <w:spacing w:line="249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FFFFFF"/>
                <w:sz w:val="22"/>
              </w:rPr>
              <w:t>SPETTANTE</w:t>
            </w:r>
          </w:p>
        </w:tc>
        <w:tc>
          <w:tcPr>
            <w:tcW w:w="7516" w:type="dxa"/>
          </w:tcPr>
          <w:p>
            <w:pPr>
              <w:pStyle w:val="TableParagraph"/>
              <w:spacing w:before="11"/>
              <w:ind w:left="0"/>
              <w:rPr>
                <w:rFonts w:ascii="Calibri"/>
                <w:sz w:val="18"/>
              </w:rPr>
            </w:pPr>
          </w:p>
          <w:p>
            <w:pPr>
              <w:pStyle w:val="TableParagraph"/>
              <w:spacing w:line="250" w:lineRule="exact"/>
              <w:jc w:val="both"/>
              <w:rPr>
                <w:sz w:val="22"/>
              </w:rPr>
            </w:pPr>
            <w:r>
              <w:rPr>
                <w:w w:val="95"/>
                <w:sz w:val="22"/>
              </w:rPr>
              <w:t>Prof.</w:t>
            </w:r>
            <w:r>
              <w:rPr>
                <w:spacing w:val="1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Domenico</w:t>
            </w:r>
            <w:r>
              <w:rPr>
                <w:spacing w:val="1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Parisi</w:t>
            </w:r>
            <w:r>
              <w:rPr>
                <w:spacing w:val="14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–</w:t>
            </w:r>
            <w:r>
              <w:rPr>
                <w:spacing w:val="1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Amministratore</w:t>
            </w:r>
            <w:r>
              <w:rPr>
                <w:spacing w:val="1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Unico.</w:t>
            </w:r>
          </w:p>
          <w:p>
            <w:pPr>
              <w:pStyle w:val="TableParagraph"/>
              <w:spacing w:line="235" w:lineRule="auto" w:before="1"/>
              <w:ind w:right="95"/>
              <w:jc w:val="both"/>
              <w:rPr>
                <w:sz w:val="22"/>
              </w:rPr>
            </w:pPr>
            <w:r>
              <w:rPr>
                <w:sz w:val="22"/>
              </w:rPr>
              <w:t>Ai sensi dell’art. 4 del D. Lgs 150/2015 il Presidente di ANPAL è nominato con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w w:val="95"/>
                <w:sz w:val="22"/>
              </w:rPr>
              <w:t>decreto</w:t>
            </w:r>
            <w:r>
              <w:rPr>
                <w:spacing w:val="-7"/>
                <w:w w:val="95"/>
                <w:sz w:val="22"/>
              </w:rPr>
              <w:t> </w:t>
            </w:r>
            <w:r>
              <w:rPr>
                <w:spacing w:val="-1"/>
                <w:w w:val="95"/>
                <w:sz w:val="22"/>
              </w:rPr>
              <w:t>del</w:t>
            </w:r>
            <w:r>
              <w:rPr>
                <w:spacing w:val="-7"/>
                <w:w w:val="95"/>
                <w:sz w:val="22"/>
              </w:rPr>
              <w:t> </w:t>
            </w:r>
            <w:r>
              <w:rPr>
                <w:spacing w:val="-1"/>
                <w:w w:val="95"/>
                <w:sz w:val="22"/>
              </w:rPr>
              <w:t>Presidente</w:t>
            </w:r>
            <w:r>
              <w:rPr>
                <w:spacing w:val="-10"/>
                <w:w w:val="95"/>
                <w:sz w:val="22"/>
              </w:rPr>
              <w:t> </w:t>
            </w:r>
            <w:r>
              <w:rPr>
                <w:spacing w:val="-1"/>
                <w:w w:val="95"/>
                <w:sz w:val="22"/>
              </w:rPr>
              <w:t>della</w:t>
            </w:r>
            <w:r>
              <w:rPr>
                <w:spacing w:val="-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Repubblica,</w:t>
            </w:r>
            <w:r>
              <w:rPr>
                <w:spacing w:val="-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previa</w:t>
            </w:r>
            <w:r>
              <w:rPr>
                <w:spacing w:val="-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deliberazione</w:t>
            </w:r>
            <w:r>
              <w:rPr>
                <w:spacing w:val="-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del</w:t>
            </w:r>
            <w:r>
              <w:rPr>
                <w:spacing w:val="-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Consiglio</w:t>
            </w:r>
            <w:r>
              <w:rPr>
                <w:spacing w:val="-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dei</w:t>
            </w:r>
            <w:r>
              <w:rPr>
                <w:spacing w:val="-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Ministri,</w:t>
            </w:r>
            <w:r>
              <w:rPr>
                <w:spacing w:val="-50"/>
                <w:w w:val="95"/>
                <w:sz w:val="22"/>
              </w:rPr>
              <w:t> </w:t>
            </w:r>
            <w:r>
              <w:rPr>
                <w:sz w:val="22"/>
              </w:rPr>
              <w:t>adottata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proposta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Ministro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Lavoro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delle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politiche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sociali.</w:t>
            </w:r>
          </w:p>
          <w:p>
            <w:pPr>
              <w:pStyle w:val="TableParagraph"/>
              <w:spacing w:line="235" w:lineRule="auto" w:before="1"/>
              <w:ind w:right="96"/>
              <w:jc w:val="both"/>
              <w:rPr>
                <w:sz w:val="22"/>
              </w:rPr>
            </w:pPr>
            <w:r>
              <w:rPr>
                <w:sz w:val="22"/>
              </w:rPr>
              <w:t>Ai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sensi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medesimo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articolo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legge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Presidente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ANPAL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diviene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Amministratore Unico di ANPAL Servizi SpA senza diritto a compensi ulteriori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rispetto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quelli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Presidente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Anpal.</w:t>
            </w:r>
          </w:p>
        </w:tc>
      </w:tr>
      <w:tr>
        <w:trPr>
          <w:trHeight w:val="1499" w:hRule="atLeast"/>
        </w:trPr>
        <w:tc>
          <w:tcPr>
            <w:tcW w:w="2830" w:type="dxa"/>
            <w:shd w:val="clear" w:color="auto" w:fill="2D74B5"/>
          </w:tcPr>
          <w:p>
            <w:pPr>
              <w:pStyle w:val="TableParagraph"/>
              <w:spacing w:before="11"/>
              <w:ind w:left="0"/>
              <w:rPr>
                <w:rFonts w:ascii="Calibri"/>
                <w:sz w:val="21"/>
              </w:rPr>
            </w:pPr>
          </w:p>
          <w:p>
            <w:pPr>
              <w:pStyle w:val="TableParagraph"/>
              <w:ind w:right="242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FFFFFF"/>
                <w:sz w:val="22"/>
              </w:rPr>
              <w:t>RISULTATI DI BILANCIO</w:t>
            </w:r>
            <w:r>
              <w:rPr>
                <w:rFonts w:ascii="Calibri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Calibri"/>
                <w:b/>
                <w:color w:val="FFFFFF"/>
                <w:sz w:val="22"/>
              </w:rPr>
              <w:t>DEGLI</w:t>
            </w:r>
            <w:r>
              <w:rPr>
                <w:rFonts w:ascii="Calibri"/>
                <w:b/>
                <w:color w:val="FFFFFF"/>
                <w:spacing w:val="-4"/>
                <w:sz w:val="22"/>
              </w:rPr>
              <w:t> </w:t>
            </w:r>
            <w:r>
              <w:rPr>
                <w:rFonts w:ascii="Calibri"/>
                <w:b/>
                <w:color w:val="FFFFFF"/>
                <w:sz w:val="22"/>
              </w:rPr>
              <w:t>ULTIMI</w:t>
            </w:r>
            <w:r>
              <w:rPr>
                <w:rFonts w:ascii="Calibri"/>
                <w:b/>
                <w:color w:val="FFFFFF"/>
                <w:spacing w:val="-5"/>
                <w:sz w:val="22"/>
              </w:rPr>
              <w:t> </w:t>
            </w:r>
            <w:r>
              <w:rPr>
                <w:rFonts w:ascii="Calibri"/>
                <w:b/>
                <w:color w:val="FFFFFF"/>
                <w:sz w:val="22"/>
              </w:rPr>
              <w:t>TRE</w:t>
            </w:r>
            <w:r>
              <w:rPr>
                <w:rFonts w:ascii="Calibri"/>
                <w:b/>
                <w:color w:val="FFFFFF"/>
                <w:spacing w:val="-4"/>
                <w:sz w:val="22"/>
              </w:rPr>
              <w:t> </w:t>
            </w:r>
            <w:r>
              <w:rPr>
                <w:rFonts w:ascii="Calibri"/>
                <w:b/>
                <w:color w:val="FFFFFF"/>
                <w:sz w:val="22"/>
              </w:rPr>
              <w:t>ESERCIZI</w:t>
            </w:r>
            <w:r>
              <w:rPr>
                <w:rFonts w:ascii="Calibri"/>
                <w:b/>
                <w:color w:val="FFFFFF"/>
                <w:spacing w:val="-47"/>
                <w:sz w:val="22"/>
              </w:rPr>
              <w:t> </w:t>
            </w:r>
            <w:r>
              <w:rPr>
                <w:rFonts w:ascii="Calibri"/>
                <w:b/>
                <w:color w:val="FFFFFF"/>
                <w:sz w:val="22"/>
              </w:rPr>
              <w:t>FINANZIARI</w:t>
            </w:r>
          </w:p>
        </w:tc>
        <w:tc>
          <w:tcPr>
            <w:tcW w:w="7516" w:type="dxa"/>
          </w:tcPr>
          <w:p>
            <w:pPr>
              <w:pStyle w:val="TableParagraph"/>
              <w:spacing w:line="237" w:lineRule="exact"/>
              <w:rPr>
                <w:sz w:val="22"/>
              </w:rPr>
            </w:pPr>
            <w:r>
              <w:rPr>
                <w:w w:val="95"/>
                <w:sz w:val="22"/>
              </w:rPr>
              <w:t>Il</w:t>
            </w:r>
            <w:r>
              <w:rPr>
                <w:spacing w:val="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bilancio</w:t>
            </w:r>
            <w:r>
              <w:rPr>
                <w:spacing w:val="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2020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di</w:t>
            </w:r>
            <w:r>
              <w:rPr>
                <w:spacing w:val="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ANPAL</w:t>
            </w:r>
            <w:r>
              <w:rPr>
                <w:spacing w:val="-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Servizi</w:t>
            </w:r>
            <w:r>
              <w:rPr>
                <w:spacing w:val="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è</w:t>
            </w:r>
            <w:r>
              <w:rPr>
                <w:spacing w:val="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in</w:t>
            </w:r>
            <w:r>
              <w:rPr>
                <w:spacing w:val="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corso</w:t>
            </w:r>
            <w:r>
              <w:rPr>
                <w:spacing w:val="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di</w:t>
            </w:r>
            <w:r>
              <w:rPr>
                <w:spacing w:val="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elaborazione.</w:t>
            </w:r>
          </w:p>
          <w:p>
            <w:pPr>
              <w:pStyle w:val="TableParagraph"/>
              <w:spacing w:before="9"/>
              <w:ind w:left="0"/>
              <w:rPr>
                <w:rFonts w:ascii="Calibri"/>
                <w:sz w:val="19"/>
              </w:rPr>
            </w:pP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ANNO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2019: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€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1.219.964</w:t>
            </w:r>
          </w:p>
          <w:p>
            <w:pPr>
              <w:pStyle w:val="TableParagraph"/>
              <w:spacing w:line="251" w:lineRule="exact"/>
              <w:rPr>
                <w:sz w:val="22"/>
              </w:rPr>
            </w:pPr>
            <w:r>
              <w:rPr>
                <w:sz w:val="22"/>
              </w:rPr>
              <w:t>ANNO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2018: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€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95.866</w:t>
            </w:r>
          </w:p>
          <w:p>
            <w:pPr>
              <w:pStyle w:val="TableParagraph"/>
              <w:spacing w:before="9"/>
              <w:rPr>
                <w:sz w:val="22"/>
              </w:rPr>
            </w:pPr>
            <w:r>
              <w:rPr>
                <w:sz w:val="22"/>
              </w:rPr>
              <w:t>ANNO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2017:</w:t>
            </w:r>
            <w:r>
              <w:rPr>
                <w:spacing w:val="30"/>
                <w:sz w:val="22"/>
              </w:rPr>
              <w:t> </w:t>
            </w:r>
            <w:r>
              <w:rPr>
                <w:sz w:val="22"/>
              </w:rPr>
              <w:t>€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‐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505.288</w:t>
            </w:r>
          </w:p>
        </w:tc>
      </w:tr>
      <w:tr>
        <w:trPr>
          <w:trHeight w:val="1735" w:hRule="atLeast"/>
        </w:trPr>
        <w:tc>
          <w:tcPr>
            <w:tcW w:w="2830" w:type="dxa"/>
            <w:shd w:val="clear" w:color="auto" w:fill="2D74B5"/>
          </w:tcPr>
          <w:p>
            <w:pPr>
              <w:pStyle w:val="TableParagraph"/>
              <w:spacing w:before="1"/>
              <w:ind w:right="625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color w:val="FFFFFF"/>
                <w:sz w:val="22"/>
              </w:rPr>
              <w:t>INCARICHI DI</w:t>
            </w:r>
            <w:r>
              <w:rPr>
                <w:rFonts w:ascii="Calibri" w:hAnsi="Calibri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Calibri" w:hAnsi="Calibri"/>
                <w:b/>
                <w:color w:val="FFFFFF"/>
                <w:sz w:val="22"/>
              </w:rPr>
              <w:t>AMMINISTRATORE</w:t>
            </w:r>
            <w:r>
              <w:rPr>
                <w:rFonts w:ascii="Calibri" w:hAnsi="Calibri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Calibri" w:hAnsi="Calibri"/>
                <w:b/>
                <w:color w:val="FFFFFF"/>
                <w:sz w:val="22"/>
              </w:rPr>
              <w:t>DELL’ENTE E RELATIVO</w:t>
            </w:r>
            <w:r>
              <w:rPr>
                <w:rFonts w:ascii="Calibri" w:hAnsi="Calibri"/>
                <w:b/>
                <w:color w:val="FFFFFF"/>
                <w:spacing w:val="-47"/>
                <w:sz w:val="22"/>
              </w:rPr>
              <w:t> </w:t>
            </w:r>
            <w:r>
              <w:rPr>
                <w:rFonts w:ascii="Calibri" w:hAnsi="Calibri"/>
                <w:b/>
                <w:color w:val="FFFFFF"/>
                <w:sz w:val="22"/>
              </w:rPr>
              <w:t>TRATTAMENTO</w:t>
            </w:r>
          </w:p>
          <w:p>
            <w:pPr>
              <w:pStyle w:val="TableParagraph"/>
              <w:spacing w:line="267" w:lineRule="exact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FFFFFF"/>
                <w:sz w:val="22"/>
              </w:rPr>
              <w:t>ECONOMICO</w:t>
            </w:r>
            <w:r>
              <w:rPr>
                <w:rFonts w:ascii="Calibri"/>
                <w:b/>
                <w:color w:val="FFFFFF"/>
                <w:spacing w:val="-7"/>
                <w:sz w:val="22"/>
              </w:rPr>
              <w:t> </w:t>
            </w:r>
            <w:r>
              <w:rPr>
                <w:rFonts w:ascii="Calibri"/>
                <w:b/>
                <w:color w:val="FFFFFF"/>
                <w:sz w:val="22"/>
              </w:rPr>
              <w:t>COMPLESSIVO</w:t>
            </w:r>
          </w:p>
        </w:tc>
        <w:tc>
          <w:tcPr>
            <w:tcW w:w="7516" w:type="dxa"/>
          </w:tcPr>
          <w:p>
            <w:pPr>
              <w:pStyle w:val="TableParagraph"/>
              <w:spacing w:before="5"/>
              <w:ind w:left="0"/>
              <w:rPr>
                <w:rFonts w:ascii="Calibri"/>
                <w:sz w:val="19"/>
              </w:rPr>
            </w:pPr>
          </w:p>
          <w:p>
            <w:pPr>
              <w:pStyle w:val="TableParagraph"/>
              <w:spacing w:line="235" w:lineRule="auto"/>
              <w:rPr>
                <w:sz w:val="22"/>
              </w:rPr>
            </w:pPr>
            <w:r>
              <w:rPr>
                <w:w w:val="95"/>
                <w:sz w:val="22"/>
              </w:rPr>
              <w:t>ANPAL</w:t>
            </w:r>
            <w:r>
              <w:rPr>
                <w:spacing w:val="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Servizi</w:t>
            </w:r>
            <w:r>
              <w:rPr>
                <w:spacing w:val="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ha</w:t>
            </w:r>
            <w:r>
              <w:rPr>
                <w:spacing w:val="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un</w:t>
            </w:r>
            <w:r>
              <w:rPr>
                <w:spacing w:val="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solo Amministratore,</w:t>
            </w:r>
            <w:r>
              <w:rPr>
                <w:spacing w:val="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che</w:t>
            </w:r>
            <w:r>
              <w:rPr>
                <w:spacing w:val="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come</w:t>
            </w:r>
            <w:r>
              <w:rPr>
                <w:spacing w:val="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indicato</w:t>
            </w:r>
            <w:r>
              <w:rPr>
                <w:spacing w:val="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nella</w:t>
            </w:r>
            <w:r>
              <w:rPr>
                <w:spacing w:val="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quarta</w:t>
            </w:r>
            <w:r>
              <w:rPr>
                <w:spacing w:val="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casella, ai</w:t>
            </w:r>
            <w:r>
              <w:rPr>
                <w:spacing w:val="-49"/>
                <w:w w:val="95"/>
                <w:sz w:val="22"/>
              </w:rPr>
              <w:t> </w:t>
            </w:r>
            <w:r>
              <w:rPr>
                <w:sz w:val="22"/>
              </w:rPr>
              <w:t>sensi del D. Lgs. 150/2015 non percepisce emolumenti per l’espletamento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dell’incarico.</w:t>
            </w:r>
          </w:p>
        </w:tc>
      </w:tr>
      <w:tr>
        <w:trPr>
          <w:trHeight w:val="1732" w:hRule="atLeast"/>
        </w:trPr>
        <w:tc>
          <w:tcPr>
            <w:tcW w:w="2830" w:type="dxa"/>
            <w:shd w:val="clear" w:color="auto" w:fill="2D74B5"/>
          </w:tcPr>
          <w:p>
            <w:pPr>
              <w:pStyle w:val="TableParagraph"/>
              <w:ind w:right="268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color w:val="FFFFFF"/>
                <w:sz w:val="22"/>
              </w:rPr>
              <w:t>Link alle dichiarazioni di</w:t>
            </w:r>
            <w:r>
              <w:rPr>
                <w:rFonts w:ascii="Calibri" w:hAnsi="Calibri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Calibri" w:hAnsi="Calibri"/>
                <w:b/>
                <w:color w:val="FFFFFF"/>
                <w:sz w:val="22"/>
              </w:rPr>
              <w:t>insussistenza di</w:t>
            </w:r>
            <w:r>
              <w:rPr>
                <w:rFonts w:ascii="Calibri" w:hAnsi="Calibri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Calibri" w:hAnsi="Calibri"/>
                <w:b/>
                <w:color w:val="FFFFFF"/>
                <w:sz w:val="22"/>
              </w:rPr>
              <w:t>inconferibilità e</w:t>
            </w:r>
            <w:r>
              <w:rPr>
                <w:rFonts w:ascii="Calibri" w:hAnsi="Calibri"/>
                <w:b/>
                <w:color w:val="FFFFFF"/>
                <w:spacing w:val="1"/>
                <w:sz w:val="22"/>
              </w:rPr>
              <w:t> </w:t>
            </w:r>
            <w:r>
              <w:rPr>
                <w:rFonts w:ascii="Calibri" w:hAnsi="Calibri"/>
                <w:b/>
                <w:color w:val="FFFFFF"/>
                <w:sz w:val="22"/>
              </w:rPr>
              <w:t>incompatibilità di incarichi</w:t>
            </w:r>
            <w:r>
              <w:rPr>
                <w:rFonts w:ascii="Calibri" w:hAnsi="Calibri"/>
                <w:b/>
                <w:color w:val="FFFFFF"/>
                <w:spacing w:val="-48"/>
                <w:sz w:val="22"/>
              </w:rPr>
              <w:t> </w:t>
            </w:r>
            <w:r>
              <w:rPr>
                <w:rFonts w:ascii="Calibri" w:hAnsi="Calibri"/>
                <w:b/>
                <w:color w:val="FFFFFF"/>
                <w:sz w:val="22"/>
              </w:rPr>
              <w:t>(</w:t>
            </w:r>
            <w:r>
              <w:rPr>
                <w:rFonts w:ascii="Calibri" w:hAnsi="Calibri"/>
                <w:b/>
                <w:i/>
                <w:color w:val="FFFFFF"/>
                <w:sz w:val="22"/>
              </w:rPr>
              <w:t>ex</w:t>
            </w:r>
            <w:r>
              <w:rPr>
                <w:rFonts w:ascii="Calibri" w:hAnsi="Calibri"/>
                <w:b/>
                <w:i/>
                <w:color w:val="FFFFFF"/>
                <w:spacing w:val="-1"/>
                <w:sz w:val="22"/>
              </w:rPr>
              <w:t> </w:t>
            </w:r>
            <w:r>
              <w:rPr>
                <w:rFonts w:ascii="Calibri" w:hAnsi="Calibri"/>
                <w:b/>
                <w:color w:val="FFFFFF"/>
                <w:sz w:val="22"/>
              </w:rPr>
              <w:t>D.Lgs</w:t>
            </w:r>
            <w:r>
              <w:rPr>
                <w:rFonts w:ascii="Calibri" w:hAns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 w:hAnsi="Calibri"/>
                <w:b/>
                <w:color w:val="FFFFFF"/>
                <w:sz w:val="22"/>
              </w:rPr>
              <w:t>n.</w:t>
            </w:r>
            <w:r>
              <w:rPr>
                <w:rFonts w:ascii="Calibri" w:hAnsi="Calibri"/>
                <w:b/>
                <w:color w:val="FFFFFF"/>
                <w:spacing w:val="-2"/>
                <w:sz w:val="22"/>
              </w:rPr>
              <w:t> </w:t>
            </w:r>
            <w:r>
              <w:rPr>
                <w:rFonts w:ascii="Calibri" w:hAnsi="Calibri"/>
                <w:b/>
                <w:color w:val="FFFFFF"/>
                <w:sz w:val="22"/>
              </w:rPr>
              <w:t>39/2013)</w:t>
            </w:r>
          </w:p>
        </w:tc>
        <w:tc>
          <w:tcPr>
            <w:tcW w:w="7516" w:type="dxa"/>
          </w:tcPr>
          <w:p>
            <w:pPr>
              <w:pStyle w:val="TableParagraph"/>
              <w:spacing w:line="235" w:lineRule="auto"/>
              <w:ind w:right="94"/>
              <w:jc w:val="both"/>
              <w:rPr>
                <w:sz w:val="22"/>
              </w:rPr>
            </w:pPr>
            <w:r>
              <w:rPr>
                <w:w w:val="95"/>
                <w:sz w:val="22"/>
              </w:rPr>
              <w:t>In proposito si rinvia alle incompatibilità e ai divieti che vigono a carico del Presidente</w:t>
            </w:r>
            <w:r>
              <w:rPr>
                <w:spacing w:val="-50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di Anpal, atteso che la relativa carica di vertice presso detta Agenzia comporta altresì -</w:t>
            </w:r>
            <w:r>
              <w:rPr>
                <w:spacing w:val="1"/>
                <w:w w:val="95"/>
                <w:sz w:val="22"/>
              </w:rPr>
              <w:t> </w:t>
            </w:r>
            <w:r>
              <w:rPr>
                <w:i/>
                <w:w w:val="95"/>
                <w:sz w:val="22"/>
              </w:rPr>
              <w:t>ope</w:t>
            </w:r>
            <w:r>
              <w:rPr>
                <w:i/>
                <w:spacing w:val="-9"/>
                <w:w w:val="95"/>
                <w:sz w:val="22"/>
              </w:rPr>
              <w:t> </w:t>
            </w:r>
            <w:r>
              <w:rPr>
                <w:i/>
                <w:w w:val="95"/>
                <w:sz w:val="22"/>
              </w:rPr>
              <w:t>legis</w:t>
            </w:r>
            <w:r>
              <w:rPr>
                <w:i/>
                <w:spacing w:val="-8"/>
                <w:w w:val="95"/>
                <w:sz w:val="22"/>
              </w:rPr>
              <w:t> </w:t>
            </w:r>
            <w:r>
              <w:rPr>
                <w:i/>
                <w:w w:val="95"/>
                <w:sz w:val="22"/>
              </w:rPr>
              <w:t>-</w:t>
            </w:r>
            <w:r>
              <w:rPr>
                <w:i/>
                <w:spacing w:val="-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quella</w:t>
            </w:r>
            <w:r>
              <w:rPr>
                <w:spacing w:val="-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di</w:t>
            </w:r>
            <w:r>
              <w:rPr>
                <w:spacing w:val="-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amministratore</w:t>
            </w:r>
            <w:r>
              <w:rPr>
                <w:spacing w:val="-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unico</w:t>
            </w:r>
            <w:r>
              <w:rPr>
                <w:spacing w:val="-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presso</w:t>
            </w:r>
            <w:r>
              <w:rPr>
                <w:spacing w:val="-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la</w:t>
            </w:r>
            <w:r>
              <w:rPr>
                <w:spacing w:val="-9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SpA</w:t>
            </w:r>
            <w:r>
              <w:rPr>
                <w:spacing w:val="-9"/>
                <w:w w:val="95"/>
                <w:sz w:val="22"/>
              </w:rPr>
              <w:t> </w:t>
            </w:r>
            <w:r>
              <w:rPr>
                <w:i/>
                <w:w w:val="95"/>
                <w:sz w:val="22"/>
              </w:rPr>
              <w:t>in</w:t>
            </w:r>
            <w:r>
              <w:rPr>
                <w:i/>
                <w:spacing w:val="-10"/>
                <w:w w:val="95"/>
                <w:sz w:val="22"/>
              </w:rPr>
              <w:t> </w:t>
            </w:r>
            <w:r>
              <w:rPr>
                <w:i/>
                <w:w w:val="95"/>
                <w:sz w:val="22"/>
              </w:rPr>
              <w:t>house</w:t>
            </w:r>
            <w:r>
              <w:rPr>
                <w:i/>
                <w:spacing w:val="36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Anpal</w:t>
            </w:r>
            <w:r>
              <w:rPr>
                <w:spacing w:val="-8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Servizi.</w:t>
            </w:r>
          </w:p>
          <w:p>
            <w:pPr>
              <w:pStyle w:val="TableParagraph"/>
              <w:spacing w:before="1"/>
              <w:ind w:left="0"/>
              <w:rPr>
                <w:rFonts w:ascii="Calibri"/>
                <w:sz w:val="19"/>
              </w:rPr>
            </w:pPr>
          </w:p>
          <w:p>
            <w:pPr>
              <w:pStyle w:val="TableParagraph"/>
              <w:spacing w:line="235" w:lineRule="auto"/>
              <w:ind w:right="369"/>
              <w:rPr>
                <w:sz w:val="22"/>
              </w:rPr>
            </w:pPr>
            <w:hyperlink r:id="rId5">
              <w:r>
                <w:rPr>
                  <w:color w:val="0000FF"/>
                  <w:spacing w:val="-1"/>
                  <w:sz w:val="22"/>
                  <w:u w:val="single" w:color="0000FF"/>
                </w:rPr>
                <w:t>https://www.anpal.gov.it/amministrazione-trasparente/organizzazione/organi-di-</w:t>
              </w:r>
            </w:hyperlink>
            <w:r>
              <w:rPr>
                <w:color w:val="0000FF"/>
                <w:spacing w:val="-52"/>
                <w:sz w:val="22"/>
              </w:rPr>
              <w:t> </w:t>
            </w:r>
            <w:hyperlink r:id="rId5">
              <w:r>
                <w:rPr>
                  <w:color w:val="0000FF"/>
                  <w:sz w:val="22"/>
                  <w:u w:val="single" w:color="0000FF"/>
                </w:rPr>
                <w:t>indirizzo-politico-e-amministrativo</w:t>
              </w:r>
            </w:hyperlink>
          </w:p>
        </w:tc>
      </w:tr>
      <w:tr>
        <w:trPr>
          <w:trHeight w:val="988" w:hRule="atLeast"/>
        </w:trPr>
        <w:tc>
          <w:tcPr>
            <w:tcW w:w="2830" w:type="dxa"/>
            <w:shd w:val="clear" w:color="auto" w:fill="2D74B5"/>
          </w:tcPr>
          <w:p>
            <w:pPr>
              <w:pStyle w:val="TableParagraph"/>
              <w:spacing w:line="268" w:lineRule="exact"/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color w:val="FFFFFF"/>
                <w:sz w:val="22"/>
              </w:rPr>
              <w:t>Link</w:t>
            </w:r>
            <w:r>
              <w:rPr>
                <w:rFonts w:ascii="Calibri" w:hAnsi="Calibri"/>
                <w:b/>
                <w:color w:val="FFFFFF"/>
                <w:spacing w:val="-1"/>
                <w:sz w:val="22"/>
              </w:rPr>
              <w:t> </w:t>
            </w:r>
            <w:r>
              <w:rPr>
                <w:rFonts w:ascii="Calibri" w:hAnsi="Calibri"/>
                <w:b/>
                <w:color w:val="FFFFFF"/>
                <w:sz w:val="22"/>
              </w:rPr>
              <w:t>al</w:t>
            </w:r>
            <w:r>
              <w:rPr>
                <w:rFonts w:ascii="Calibri" w:hAnsi="Calibri"/>
                <w:b/>
                <w:color w:val="FFFFFF"/>
                <w:spacing w:val="-3"/>
                <w:sz w:val="22"/>
              </w:rPr>
              <w:t> </w:t>
            </w:r>
            <w:r>
              <w:rPr>
                <w:rFonts w:ascii="Calibri" w:hAnsi="Calibri"/>
                <w:b/>
                <w:color w:val="FFFFFF"/>
                <w:sz w:val="22"/>
              </w:rPr>
              <w:t>sito dell’Ente</w:t>
            </w:r>
          </w:p>
        </w:tc>
        <w:tc>
          <w:tcPr>
            <w:tcW w:w="7516" w:type="dxa"/>
          </w:tcPr>
          <w:p>
            <w:pPr>
              <w:pStyle w:val="TableParagraph"/>
              <w:spacing w:line="237" w:lineRule="exact"/>
              <w:rPr>
                <w:b/>
                <w:sz w:val="22"/>
              </w:rPr>
            </w:pPr>
            <w:r>
              <w:rPr>
                <w:w w:val="95"/>
                <w:sz w:val="22"/>
              </w:rPr>
              <w:t>Sito</w:t>
            </w:r>
            <w:r>
              <w:rPr>
                <w:spacing w:val="1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web:</w:t>
            </w:r>
            <w:r>
              <w:rPr>
                <w:spacing w:val="12"/>
                <w:w w:val="95"/>
                <w:sz w:val="22"/>
              </w:rPr>
              <w:t> </w:t>
            </w:r>
            <w:hyperlink r:id="rId6">
              <w:r>
                <w:rPr>
                  <w:b/>
                  <w:color w:val="0000FF"/>
                  <w:w w:val="95"/>
                  <w:sz w:val="22"/>
                  <w:u w:val="single" w:color="0000FF"/>
                </w:rPr>
                <w:t>www.anpalservizi.it</w:t>
              </w:r>
            </w:hyperlink>
          </w:p>
          <w:p>
            <w:pPr>
              <w:pStyle w:val="TableParagraph"/>
              <w:spacing w:before="9"/>
              <w:ind w:left="0"/>
              <w:rPr>
                <w:rFonts w:ascii="Calibri"/>
                <w:sz w:val="19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  <w:r>
              <w:rPr>
                <w:b/>
                <w:color w:val="0000FF"/>
                <w:spacing w:val="-1"/>
                <w:w w:val="97"/>
                <w:sz w:val="22"/>
              </w:rPr>
              <w:t>h</w:t>
            </w:r>
            <w:r>
              <w:rPr>
                <w:b/>
                <w:color w:val="0000FF"/>
                <w:w w:val="97"/>
                <w:sz w:val="22"/>
              </w:rPr>
              <w:t>tt</w:t>
            </w:r>
            <w:r>
              <w:rPr>
                <w:b/>
                <w:color w:val="0000FF"/>
                <w:spacing w:val="1"/>
                <w:w w:val="97"/>
                <w:sz w:val="22"/>
              </w:rPr>
              <w:t>p</w:t>
            </w:r>
            <w:r>
              <w:rPr>
                <w:b/>
                <w:color w:val="0000FF"/>
                <w:spacing w:val="-1"/>
                <w:w w:val="107"/>
                <w:sz w:val="22"/>
              </w:rPr>
              <w:t>s</w:t>
            </w:r>
            <w:r>
              <w:rPr>
                <w:b/>
                <w:color w:val="0000FF"/>
                <w:spacing w:val="-3"/>
                <w:w w:val="78"/>
                <w:sz w:val="22"/>
              </w:rPr>
              <w:t>:</w:t>
            </w:r>
            <w:r>
              <w:rPr>
                <w:b/>
                <w:color w:val="0000FF"/>
                <w:spacing w:val="-1"/>
                <w:w w:val="199"/>
                <w:sz w:val="22"/>
              </w:rPr>
              <w:t>/</w:t>
            </w:r>
            <w:r>
              <w:rPr>
                <w:b/>
                <w:color w:val="0000FF"/>
                <w:w w:val="199"/>
                <w:sz w:val="22"/>
              </w:rPr>
              <w:t>/</w:t>
            </w:r>
            <w:hyperlink r:id="rId6">
              <w:r>
                <w:rPr>
                  <w:b/>
                  <w:color w:val="0000FF"/>
                  <w:spacing w:val="-1"/>
                  <w:w w:val="98"/>
                  <w:sz w:val="22"/>
                </w:rPr>
                <w:t>www</w:t>
              </w:r>
              <w:r>
                <w:rPr>
                  <w:b/>
                  <w:color w:val="0000FF"/>
                  <w:spacing w:val="-3"/>
                  <w:w w:val="104"/>
                  <w:sz w:val="22"/>
                </w:rPr>
                <w:t>.</w:t>
              </w:r>
              <w:r>
                <w:rPr>
                  <w:b/>
                  <w:color w:val="0000FF"/>
                  <w:w w:val="98"/>
                  <w:sz w:val="22"/>
                </w:rPr>
                <w:t>anp</w:t>
              </w:r>
              <w:r>
                <w:rPr>
                  <w:b/>
                  <w:color w:val="0000FF"/>
                  <w:spacing w:val="-3"/>
                  <w:w w:val="96"/>
                  <w:sz w:val="22"/>
                </w:rPr>
                <w:t>a</w:t>
              </w:r>
              <w:r>
                <w:rPr>
                  <w:b/>
                  <w:color w:val="0000FF"/>
                  <w:spacing w:val="-1"/>
                  <w:w w:val="101"/>
                  <w:sz w:val="22"/>
                </w:rPr>
                <w:t>ls</w:t>
              </w:r>
              <w:r>
                <w:rPr>
                  <w:b/>
                  <w:color w:val="0000FF"/>
                  <w:w w:val="96"/>
                  <w:sz w:val="22"/>
                </w:rPr>
                <w:t>erviz</w:t>
              </w:r>
              <w:r>
                <w:rPr>
                  <w:b/>
                  <w:color w:val="0000FF"/>
                  <w:spacing w:val="-2"/>
                  <w:w w:val="96"/>
                  <w:sz w:val="22"/>
                </w:rPr>
                <w:t>i</w:t>
              </w:r>
              <w:r>
                <w:rPr>
                  <w:b/>
                  <w:color w:val="0000FF"/>
                  <w:spacing w:val="-1"/>
                  <w:w w:val="99"/>
                  <w:sz w:val="22"/>
                </w:rPr>
                <w:t>.i</w:t>
              </w:r>
              <w:r>
                <w:rPr>
                  <w:b/>
                  <w:color w:val="0000FF"/>
                  <w:w w:val="99"/>
                  <w:sz w:val="22"/>
                </w:rPr>
                <w:t>t</w:t>
              </w:r>
              <w:r>
                <w:rPr>
                  <w:b/>
                  <w:color w:val="0000FF"/>
                  <w:w w:val="199"/>
                  <w:sz w:val="22"/>
                </w:rPr>
                <w:t>/</w:t>
              </w:r>
            </w:hyperlink>
          </w:p>
        </w:tc>
      </w:tr>
    </w:tbl>
    <w:sectPr>
      <w:type w:val="continuous"/>
      <w:pgSz w:w="11910" w:h="16840"/>
      <w:pgMar w:top="680" w:bottom="280" w:left="6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828" w:hanging="360"/>
      </w:pPr>
      <w:rPr>
        <w:rFonts w:hint="default" w:ascii="Times New Roman" w:hAnsi="Times New Roman" w:eastAsia="Times New Roman" w:cs="Times New Roman"/>
        <w:w w:val="94"/>
        <w:sz w:val="22"/>
        <w:szCs w:val="22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488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57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825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3494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163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4831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5500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6168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Calibri" w:hAnsi="Calibri" w:eastAsia="Calibri" w:cs="Calibri"/>
      <w:sz w:val="28"/>
      <w:szCs w:val="28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anpal.gov.it/amministrazione-trasparente/organizzazione/organi-di-indirizzo-politico-e-amministrativo" TargetMode="External"/><Relationship Id="rId6" Type="http://schemas.openxmlformats.org/officeDocument/2006/relationships/hyperlink" Target="http://www.anpalservizi.it/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mleo</dc:creator>
  <dcterms:created xsi:type="dcterms:W3CDTF">2022-06-27T13:13:11Z</dcterms:created>
  <dcterms:modified xsi:type="dcterms:W3CDTF">2022-06-27T13:13:11Z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2021-04-02T00:00:00Z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2022-06-27T00:00:00Z</vt:filetime>
  </property>
</Properties>
</file>